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2C" w:rsidRPr="00B0542C" w:rsidRDefault="00B0542C" w:rsidP="00B05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3375A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676650" cy="942975"/>
            <wp:effectExtent l="19050" t="0" r="0" b="0"/>
            <wp:docPr id="3" name="Рисунок 3" descr="РБК daily - ежедневная деловая газета">
              <a:hlinkClick xmlns:a="http://schemas.openxmlformats.org/drawingml/2006/main" r:id="rId5" tooltip="&quot;РБК daily - ежедневная деловая газе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БК daily - ежедневная деловая газета">
                      <a:hlinkClick r:id="rId5" tooltip="&quot;РБК daily - ежедневная деловая газе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42C" w:rsidRPr="00B0542C" w:rsidRDefault="00B0542C" w:rsidP="00B0542C">
      <w:pPr>
        <w:spacing w:after="0" w:line="240" w:lineRule="atLeast"/>
        <w:jc w:val="right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0542C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Вторник, 25 сентября 2012</w:t>
      </w:r>
      <w:r w:rsidRPr="00B0542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0542C" w:rsidRPr="00B0542C" w:rsidRDefault="00B0542C" w:rsidP="00B0542C">
      <w:pPr>
        <w:spacing w:after="0" w:line="255" w:lineRule="atLeast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0542C">
        <w:rPr>
          <w:rFonts w:ascii="inherit" w:eastAsia="Times New Roman" w:hAnsi="inherit" w:cs="Arial"/>
          <w:color w:val="000000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7.5pt;height:21.75pt" o:ole="">
            <v:imagedata r:id="rId7" o:title=""/>
          </v:shape>
          <w:control r:id="rId8" w:name="DefaultOcxName1" w:shapeid="_x0000_i1028"/>
        </w:object>
      </w:r>
      <w:r w:rsidRPr="00B0542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0542C" w:rsidRDefault="00B0542C" w:rsidP="00B0542C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color w:val="000000"/>
          <w:spacing w:val="-15"/>
          <w:sz w:val="33"/>
          <w:szCs w:val="33"/>
          <w:lang w:eastAsia="ru-RU"/>
        </w:rPr>
      </w:pPr>
    </w:p>
    <w:p w:rsidR="00B0542C" w:rsidRDefault="00B0542C" w:rsidP="00B0542C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color w:val="000000"/>
          <w:spacing w:val="-15"/>
          <w:sz w:val="33"/>
          <w:szCs w:val="33"/>
          <w:lang w:eastAsia="ru-RU"/>
        </w:rPr>
      </w:pPr>
    </w:p>
    <w:p w:rsidR="00B0542C" w:rsidRPr="00B0542C" w:rsidRDefault="00B0542C" w:rsidP="00B0542C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color w:val="000000"/>
          <w:spacing w:val="-15"/>
          <w:sz w:val="33"/>
          <w:szCs w:val="33"/>
          <w:lang w:eastAsia="ru-RU"/>
        </w:rPr>
      </w:pPr>
      <w:r w:rsidRPr="00B0542C">
        <w:rPr>
          <w:rFonts w:ascii="Arial" w:eastAsia="Times New Roman" w:hAnsi="Arial" w:cs="Arial"/>
          <w:color w:val="000000"/>
          <w:spacing w:val="-15"/>
          <w:sz w:val="33"/>
          <w:szCs w:val="33"/>
          <w:lang w:eastAsia="ru-RU"/>
        </w:rPr>
        <w:t>Возможное создание единой СРО раскололо операторский рынок ж/д перевозок</w:t>
      </w:r>
    </w:p>
    <w:p w:rsidR="00B0542C" w:rsidRPr="00B0542C" w:rsidRDefault="00B0542C" w:rsidP="00B0542C">
      <w:pPr>
        <w:shd w:val="clear" w:color="auto" w:fill="FFFFFF"/>
        <w:spacing w:after="0" w:line="255" w:lineRule="atLeast"/>
        <w:rPr>
          <w:rFonts w:ascii="inherit" w:eastAsia="Times New Roman" w:hAnsi="inherit" w:cs="Arial"/>
          <w:color w:val="666666"/>
          <w:sz w:val="21"/>
          <w:szCs w:val="21"/>
          <w:lang w:eastAsia="ru-RU"/>
        </w:rPr>
      </w:pPr>
      <w:r w:rsidRPr="00B0542C">
        <w:rPr>
          <w:rFonts w:ascii="inherit" w:eastAsia="Times New Roman" w:hAnsi="inherit" w:cs="Arial"/>
          <w:color w:val="666666"/>
          <w:sz w:val="21"/>
          <w:lang w:eastAsia="ru-RU"/>
        </w:rPr>
        <w:t>00:03 </w:t>
      </w:r>
      <w:hyperlink r:id="rId9" w:tooltip="Найти все статьи этого автора" w:history="1">
        <w:r w:rsidRPr="00B0542C">
          <w:rPr>
            <w:rFonts w:ascii="inherit" w:eastAsia="Times New Roman" w:hAnsi="inherit" w:cs="Arial"/>
            <w:color w:val="666666"/>
            <w:sz w:val="21"/>
            <w:lang w:eastAsia="ru-RU"/>
          </w:rPr>
          <w:t xml:space="preserve">Юлия </w:t>
        </w:r>
        <w:proofErr w:type="spellStart"/>
        <w:r w:rsidRPr="00B0542C">
          <w:rPr>
            <w:rFonts w:ascii="inherit" w:eastAsia="Times New Roman" w:hAnsi="inherit" w:cs="Arial"/>
            <w:color w:val="666666"/>
            <w:sz w:val="21"/>
            <w:lang w:eastAsia="ru-RU"/>
          </w:rPr>
          <w:t>Галлямова</w:t>
        </w:r>
        <w:proofErr w:type="spellEnd"/>
      </w:hyperlink>
      <w:r w:rsidRPr="00B0542C">
        <w:rPr>
          <w:rFonts w:ascii="inherit" w:eastAsia="Times New Roman" w:hAnsi="inherit" w:cs="Arial"/>
          <w:color w:val="666666"/>
          <w:sz w:val="21"/>
          <w:lang w:eastAsia="ru-RU"/>
        </w:rPr>
        <w:t> </w:t>
      </w:r>
      <w:hyperlink r:id="rId10" w:tgtFrame="_blank" w:tooltip="Версия для печати" w:history="1">
        <w:r w:rsidRPr="00B0542C">
          <w:rPr>
            <w:rFonts w:ascii="inherit" w:eastAsia="Times New Roman" w:hAnsi="inherit" w:cs="Arial"/>
            <w:color w:val="666666"/>
            <w:sz w:val="17"/>
            <w:u w:val="single"/>
            <w:lang w:eastAsia="ru-RU"/>
          </w:rPr>
          <w:t>Версия для печати</w:t>
        </w:r>
      </w:hyperlink>
    </w:p>
    <w:p w:rsidR="00B0542C" w:rsidRPr="00B0542C" w:rsidRDefault="00B0542C" w:rsidP="00B0542C">
      <w:pPr>
        <w:shd w:val="clear" w:color="auto" w:fill="FFFFFF"/>
        <w:spacing w:after="0" w:line="255" w:lineRule="atLeast"/>
        <w:jc w:val="righ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0542C">
        <w:rPr>
          <w:rFonts w:ascii="inherit" w:eastAsia="Times New Roman" w:hAnsi="inherit" w:cs="Arial"/>
          <w:color w:val="000000"/>
          <w:sz w:val="21"/>
          <w:lang w:eastAsia="ru-RU"/>
        </w:rPr>
        <w:t> </w:t>
      </w:r>
    </w:p>
    <w:p w:rsidR="00B0542C" w:rsidRPr="00B0542C" w:rsidRDefault="00B0542C" w:rsidP="00B0542C">
      <w:pPr>
        <w:shd w:val="clear" w:color="auto" w:fill="FFFFFF"/>
        <w:spacing w:after="75" w:line="255" w:lineRule="atLeast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28750" cy="1905000"/>
            <wp:effectExtent l="19050" t="0" r="0" b="0"/>
            <wp:docPr id="1" name="Рисунок 1" descr="Возможное создание единой СРО раскололо операторский рынок ж/д перевоз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можное создание единой СРО раскололо операторский рынок ж/д перевозо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42C" w:rsidRPr="00B0542C" w:rsidRDefault="00B0542C" w:rsidP="00B0542C">
      <w:pPr>
        <w:shd w:val="clear" w:color="auto" w:fill="FFFFFF"/>
        <w:spacing w:after="195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с созданием единственной в стране саморегулируемой организации, членство в которой должно было стать обязательным для всех железнодорожных операторов, похоже, расколол рынок на несколько лагерей. Свой протест по этому поводу высказали объединения небольших операторский компаний. Они просят вице-премьера Аркадия </w:t>
      </w:r>
      <w:proofErr w:type="spellStart"/>
      <w:r w:rsidRPr="00B0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Дворковича</w:t>
      </w:r>
      <w:proofErr w:type="spellEnd"/>
      <w:r w:rsidRPr="00B0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ограничиваться одной СРО либо создать единую организацию с учетом предложений ФАС. В противном случае под запрет попадут 90% собственников вагонов.</w:t>
      </w:r>
    </w:p>
    <w:p w:rsidR="00B0542C" w:rsidRPr="00B0542C" w:rsidRDefault="00B0542C" w:rsidP="00B0542C">
      <w:pPr>
        <w:shd w:val="clear" w:color="auto" w:fill="FFFFFF"/>
        <w:spacing w:after="195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в начале августа премьер-министр Дмитрий Медведев поручил главам Минтранса и Мин</w:t>
      </w:r>
      <w:r w:rsidRPr="00B0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экономразвития Максиму Соколову и Андрею Белоусову, а также заинтересованным организациям подготовить предложения по введению обязательного членства железнодорожных операторов в единой саморегулируемой организации (СРО).</w:t>
      </w:r>
    </w:p>
    <w:p w:rsidR="00B0542C" w:rsidRPr="00B0542C" w:rsidRDefault="00B0542C" w:rsidP="00B0542C">
      <w:pPr>
        <w:shd w:val="clear" w:color="auto" w:fill="FFFFFF"/>
        <w:spacing w:after="195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большей части разработка концепции единой СРО велась под эгидой НП «Совет участников рынка услуг операторов железнодорожного подвижного состава» (СОЖТ) во главе с Сергеем Мальцевым. К середине сентября партнерство, объединяющее крупных операторов, представило в Минтранс свои предложения по саморегулированию на ж/д </w:t>
      </w:r>
      <w:proofErr w:type="gramStart"/>
      <w:r w:rsidRPr="00B0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транспорте</w:t>
      </w:r>
      <w:proofErr w:type="gramEnd"/>
      <w:r w:rsidRPr="00B0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Проект предусматривал, что СРО будет создана на базе партнерства, а членство в ней станет обязательным. В противном случае компания не сможет заниматься операторской деятельностью.</w:t>
      </w:r>
    </w:p>
    <w:p w:rsidR="00B0542C" w:rsidRPr="00B0542C" w:rsidRDefault="00B0542C" w:rsidP="00B0542C">
      <w:pPr>
        <w:shd w:val="clear" w:color="auto" w:fill="FFFFFF"/>
        <w:spacing w:after="195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создания единой саморегулируемой организации неоднократно поднималась на совещаниях у Аркадия </w:t>
      </w:r>
      <w:proofErr w:type="spellStart"/>
      <w:r w:rsidRPr="00B0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Дворковича</w:t>
      </w:r>
      <w:proofErr w:type="spellEnd"/>
      <w:r w:rsidRPr="00B0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однако никакого окончательного решения, кроме того, что координировать работу операторов должна лишь одна организация, принято не было, сообщили РБК </w:t>
      </w:r>
      <w:proofErr w:type="spellStart"/>
      <w:r w:rsidRPr="00B0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daily</w:t>
      </w:r>
      <w:proofErr w:type="spellEnd"/>
      <w:r w:rsidRPr="00B0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сразу несколько источников на рынке. По их словам, этот вопрос в очередной раз планировалось обсудить в правительстве на прошлой неделе, однако в итоге совещание было отложено.</w:t>
      </w:r>
    </w:p>
    <w:p w:rsidR="00B0542C" w:rsidRPr="00B0542C" w:rsidRDefault="00B0542C" w:rsidP="00B0542C">
      <w:pPr>
        <w:shd w:val="clear" w:color="auto" w:fill="FFFFFF"/>
        <w:spacing w:after="195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тем в ответ на предложение крупных операторов свою позицию по этому поводу высказали организации, объединяющие средние и мелкие операторские компании. Так, </w:t>
      </w:r>
      <w:r w:rsidRPr="00B0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вчера Ассоциация перевозчиков и операторов подвижного состава ж/д транспорта (АСКОП) за подписью президента организации Владимира Прокофьева направила письмо Аркадию </w:t>
      </w:r>
      <w:proofErr w:type="spellStart"/>
      <w:r w:rsidRPr="00B0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Дворковичу</w:t>
      </w:r>
      <w:proofErr w:type="spellEnd"/>
      <w:r w:rsidRPr="00B0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котором раскритиковала идею единой СРО на базе СОЖТ. «Это лишь способ удалить с рынка большинство владельцев вагонов и запретить им предоставлять вагоны под перевозки», — следует из письма АСКОП. По данным ассоциации, в таком случае порядка 90% из более чем 2,5 тыс. собственников подвижного состава не смогут продолжить свою деятельность. </w:t>
      </w:r>
      <w:r w:rsidRPr="00B05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качестве альтернативы АСКОП призывает создать организацию на базе ранее подготовленных предложений ФАС, которая бы объединила всех участников перевозочного процесса</w:t>
      </w:r>
      <w:r w:rsidRPr="00B0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542C" w:rsidRPr="00B0542C" w:rsidRDefault="00B0542C" w:rsidP="00B0542C">
      <w:pPr>
        <w:shd w:val="clear" w:color="auto" w:fill="FFFFFF"/>
        <w:spacing w:after="195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Подобное обращение в правительство с критикой в адрес предложенной СОЖТ СРО поступило на прошлой неделе и от НП операторов железнодорожного подвижного состава (объединяет 40 операторов с вагонным парком до 5 тыс. единиц). Правда, НП попросило создать несколько СРО, учитывающих интересы как крупных, так и мелких операторских компаний.</w:t>
      </w:r>
    </w:p>
    <w:p w:rsidR="00B0542C" w:rsidRPr="00B0542C" w:rsidRDefault="00B0542C" w:rsidP="00B0542C">
      <w:pPr>
        <w:shd w:val="clear" w:color="auto" w:fill="FFFFFF"/>
        <w:spacing w:after="195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Мелкие игроки на рынке опасаются, что условия вхождения в единую СРО будут для них чересчур сложными, объясняет собеседник РБК </w:t>
      </w:r>
      <w:proofErr w:type="spellStart"/>
      <w:r w:rsidRPr="00B0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daily</w:t>
      </w:r>
      <w:proofErr w:type="spellEnd"/>
      <w:r w:rsidRPr="00B0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его словам, обсуждаемый сейчас членский взнос — </w:t>
      </w:r>
      <w:r w:rsidRPr="00B05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500 тыс. руб. в месяц,</w:t>
      </w:r>
      <w:r w:rsidRPr="00B0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уже невыполнимо для большей части мелких операторов (для сравнения, в СОЖТ ежемесячный взнос </w:t>
      </w:r>
      <w:r w:rsidRPr="00B05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 130 тыс. руб</w:t>
      </w:r>
      <w:r w:rsidRPr="00B0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.). Полмиллиона рублей — это слишком высокая цена за возможность быть оператором, соглашается гендиректор </w:t>
      </w:r>
      <w:proofErr w:type="spellStart"/>
      <w:r w:rsidRPr="00B0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Infranews</w:t>
      </w:r>
      <w:proofErr w:type="spellEnd"/>
      <w:r w:rsidRPr="00B0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Безбородов. СРО, безусловно, должна быть общей, но порог вхождения должен либо отсутствовать, либо рассчитываться исходя из масштаба деятельности компании, рассуждает он.</w:t>
      </w:r>
    </w:p>
    <w:p w:rsidR="00B0542C" w:rsidRPr="00B0542C" w:rsidRDefault="00B0542C" w:rsidP="00B0542C">
      <w:pPr>
        <w:shd w:val="clear" w:color="auto" w:fill="FFFFFF"/>
        <w:spacing w:after="195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Однако</w:t>
      </w:r>
      <w:r w:rsidRPr="00B0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возглавляемое Сергеем Мальцевым партнерство далеко не единственная организация, которая претендует на роль координатора всех операторов. Как рассказали РБК </w:t>
      </w:r>
      <w:proofErr w:type="spellStart"/>
      <w:r w:rsidRPr="00B0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daily</w:t>
      </w:r>
      <w:proofErr w:type="spellEnd"/>
      <w:r w:rsidRPr="00B0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рынке, о подобной идее задумывается и Первая грузовая компания (ПГК) Владимира Лисина. </w:t>
      </w:r>
      <w:r w:rsidRPr="00B05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Известно, что также принадлежащая бизнесмену Независимая транспортная компания уже вышла из состава СОЖТ</w:t>
      </w:r>
      <w:r w:rsidRPr="00B0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Правда, вчера в ПГК не смогли прояснить ситуацию с созданием на базе компании единой СРО.</w:t>
      </w:r>
    </w:p>
    <w:p w:rsidR="00B0542C" w:rsidRPr="00B0542C" w:rsidRDefault="004025FD" w:rsidP="00B0542C">
      <w:pPr>
        <w:shd w:val="clear" w:color="auto" w:fill="FFFFFF"/>
        <w:spacing w:after="195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proofErr w:type="gramStart"/>
        <w:r w:rsidR="00B0542C" w:rsidRPr="00B0542C">
          <w:rPr>
            <w:rFonts w:ascii="Times New Roman" w:eastAsia="Times New Roman" w:hAnsi="Times New Roman" w:cs="Times New Roman"/>
            <w:color w:val="3375A0"/>
            <w:sz w:val="24"/>
            <w:szCs w:val="24"/>
            <w:u w:val="single"/>
            <w:lang w:eastAsia="ru-RU"/>
          </w:rPr>
          <w:t>ж</w:t>
        </w:r>
        <w:proofErr w:type="gramEnd"/>
        <w:r w:rsidR="00B0542C" w:rsidRPr="00B0542C">
          <w:rPr>
            <w:rFonts w:ascii="Times New Roman" w:eastAsia="Times New Roman" w:hAnsi="Times New Roman" w:cs="Times New Roman"/>
            <w:color w:val="3375A0"/>
            <w:sz w:val="24"/>
            <w:szCs w:val="24"/>
            <w:u w:val="single"/>
            <w:lang w:eastAsia="ru-RU"/>
          </w:rPr>
          <w:t>/д оператор</w:t>
        </w:r>
        <w:r w:rsidR="00B0542C" w:rsidRPr="00B05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br/>
        </w:r>
        <w:r w:rsidR="00B0542C" w:rsidRPr="00B0542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Читать полностью:</w:t>
        </w:r>
      </w:hyperlink>
      <w:hyperlink r:id="rId13" w:history="1">
        <w:r w:rsidR="00B0542C" w:rsidRPr="00B0542C">
          <w:rPr>
            <w:rFonts w:ascii="Times New Roman" w:eastAsia="Times New Roman" w:hAnsi="Times New Roman" w:cs="Times New Roman"/>
            <w:color w:val="3375A0"/>
            <w:sz w:val="24"/>
            <w:szCs w:val="24"/>
            <w:u w:val="single"/>
            <w:lang w:eastAsia="ru-RU"/>
          </w:rPr>
          <w:t>http://www.rbcdaily.ru/2012/09/25/industry/562949984785310</w:t>
        </w:r>
      </w:hyperlink>
    </w:p>
    <w:p w:rsidR="00000F5D" w:rsidRPr="00B0542C" w:rsidRDefault="00000F5D" w:rsidP="00B054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0F5D" w:rsidRPr="00B0542C" w:rsidSect="0000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04BD3"/>
    <w:multiLevelType w:val="multilevel"/>
    <w:tmpl w:val="3E46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2C"/>
    <w:rsid w:val="00000F5D"/>
    <w:rsid w:val="004025FD"/>
    <w:rsid w:val="00B0542C"/>
    <w:rsid w:val="00B763BA"/>
    <w:rsid w:val="00C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141119-59E9-4EFB-8E14-6B3BF359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3BA"/>
  </w:style>
  <w:style w:type="paragraph" w:styleId="1">
    <w:name w:val="heading 1"/>
    <w:basedOn w:val="a"/>
    <w:link w:val="10"/>
    <w:uiPriority w:val="9"/>
    <w:qFormat/>
    <w:rsid w:val="00B763BA"/>
    <w:pPr>
      <w:spacing w:before="100" w:beforeAutospacing="1" w:after="240" w:line="240" w:lineRule="auto"/>
      <w:jc w:val="center"/>
      <w:outlineLvl w:val="0"/>
    </w:pPr>
    <w:rPr>
      <w:rFonts w:ascii="Times New Roman" w:eastAsia="Times New Roman" w:hAnsi="Times New Roman" w:cs="Times New Roman"/>
      <w:color w:val="333333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5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3BA"/>
    <w:rPr>
      <w:rFonts w:ascii="Times New Roman" w:eastAsia="Times New Roman" w:hAnsi="Times New Roman" w:cs="Times New Roman"/>
      <w:color w:val="333333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54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pyrights">
    <w:name w:val="copyrights"/>
    <w:basedOn w:val="a"/>
    <w:rsid w:val="00B0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">
    <w:name w:val="meta"/>
    <w:basedOn w:val="a0"/>
    <w:rsid w:val="00B0542C"/>
  </w:style>
  <w:style w:type="character" w:customStyle="1" w:styleId="apple-converted-space">
    <w:name w:val="apple-converted-space"/>
    <w:basedOn w:val="a0"/>
    <w:rsid w:val="00B0542C"/>
  </w:style>
  <w:style w:type="character" w:styleId="a3">
    <w:name w:val="Hyperlink"/>
    <w:basedOn w:val="a0"/>
    <w:uiPriority w:val="99"/>
    <w:semiHidden/>
    <w:unhideWhenUsed/>
    <w:rsid w:val="00B054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42C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54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054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54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0542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48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7524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482431">
              <w:marLeft w:val="-6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125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284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www.rbcdaily.ru/2012/09/25/industry/5629499847853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www.rbcdaily.ru/tags/5629499847853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3.jpeg"/><Relationship Id="rId5" Type="http://schemas.openxmlformats.org/officeDocument/2006/relationships/hyperlink" Target="http://www.rbcdaily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bcdaily.ru/2012/09/25/industry/562949984785310/pri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bcdaily.ru/search/?query=%D0%AE%D0%BB%D0%B8%D1%8F+%D0%93%D0%B0%D0%BB%D0%BB%D1%8F%D0%BC%D0%BE%D0%B2%D0%B0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Савкин Александр Валерьевич</cp:lastModifiedBy>
  <cp:revision>2</cp:revision>
  <dcterms:created xsi:type="dcterms:W3CDTF">2015-05-19T07:07:00Z</dcterms:created>
  <dcterms:modified xsi:type="dcterms:W3CDTF">2015-05-19T07:07:00Z</dcterms:modified>
</cp:coreProperties>
</file>